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097F8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Style w:val="5"/>
          <w:rFonts w:ascii="Times New Roman" w:hAnsi="Times New Roman" w:eastAsia="微软雅黑" w:cs="Times New Roman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32"/>
          <w:szCs w:val="32"/>
        </w:rPr>
        <w:t>“同位素变革性生产技术”抢占制高点专项</w:t>
      </w:r>
    </w:p>
    <w:p w14:paraId="1E524EE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Style w:val="5"/>
          <w:rFonts w:hint="default" w:ascii="Times New Roman" w:hAnsi="Times New Roman" w:eastAsia="微软雅黑" w:cs="Times New Roman"/>
          <w:sz w:val="30"/>
          <w:szCs w:val="30"/>
        </w:rPr>
      </w:pPr>
      <w:r>
        <w:rPr>
          <w:rStyle w:val="5"/>
          <w:rFonts w:hint="eastAsia" w:ascii="微软雅黑" w:hAnsi="微软雅黑" w:eastAsia="微软雅黑" w:cs="微软雅黑"/>
          <w:sz w:val="28"/>
          <w:szCs w:val="28"/>
        </w:rPr>
        <w:t>子课题指南-靶物理设计校核及增殖效应实验研究</w:t>
      </w:r>
      <w:r>
        <w:rPr>
          <w:rStyle w:val="5"/>
          <w:rFonts w:hint="default" w:ascii="Times New Roman" w:hAnsi="Times New Roman" w:eastAsia="微软雅黑" w:cs="Times New Roman"/>
          <w:sz w:val="28"/>
          <w:szCs w:val="28"/>
        </w:rPr>
        <w:t>GJ10030210</w:t>
      </w:r>
    </w:p>
    <w:p w14:paraId="2DDE39F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jc w:val="both"/>
        <w:textAlignment w:val="auto"/>
        <w:rPr>
          <w:rFonts w:ascii="Times New Roman" w:hAnsi="Times New Roman" w:eastAsia="仿宋_GB2312" w:cs="Times New Roman"/>
          <w:b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研究目标：</w:t>
      </w:r>
    </w:p>
    <w:p w14:paraId="56AA42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firstLine="560" w:firstLineChars="200"/>
        <w:jc w:val="both"/>
        <w:textAlignment w:val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面向我国放射性同位素</w:t>
      </w:r>
      <w:r>
        <w:rPr>
          <w:rFonts w:ascii="Times New Roman" w:hAnsi="Times New Roman" w:eastAsia="仿宋_GB2312" w:cs="Times New Roman"/>
          <w:sz w:val="28"/>
          <w:szCs w:val="28"/>
          <w:vertAlign w:val="superscript"/>
        </w:rPr>
        <w:t>225</w:t>
      </w:r>
      <w:r>
        <w:rPr>
          <w:rFonts w:ascii="Times New Roman" w:hAnsi="Times New Roman" w:eastAsia="仿宋_GB2312" w:cs="Times New Roman"/>
          <w:sz w:val="28"/>
          <w:szCs w:val="28"/>
        </w:rPr>
        <w:t>Ac在肿瘤靶向治疗中的重大临床需求，围绕其规模化、稳定化生产的关键科学和技术问题，重点突破</w:t>
      </w:r>
      <w:r>
        <w:rPr>
          <w:rFonts w:ascii="Times New Roman" w:hAnsi="Times New Roman" w:eastAsia="仿宋_GB2312" w:cs="Times New Roman"/>
          <w:sz w:val="28"/>
          <w:szCs w:val="28"/>
          <w:vertAlign w:val="superscript"/>
        </w:rPr>
        <w:t>225</w:t>
      </w:r>
      <w:r>
        <w:rPr>
          <w:rFonts w:ascii="Times New Roman" w:hAnsi="Times New Roman" w:eastAsia="仿宋_GB2312" w:cs="Times New Roman"/>
          <w:sz w:val="28"/>
          <w:szCs w:val="28"/>
        </w:rPr>
        <w:t>Ac生产过程中需要的高功率Th靶件核心技术。要求开展高功率Th靶组件设计、靶件热管理、关键核反应数据获取、靶件封装与辐射防护等关键技术研究，建立</w:t>
      </w:r>
      <w:r>
        <w:rPr>
          <w:rFonts w:ascii="Times New Roman" w:hAnsi="Times New Roman" w:eastAsia="仿宋_GB2312" w:cs="Times New Roman"/>
          <w:sz w:val="28"/>
          <w:szCs w:val="28"/>
          <w:vertAlign w:val="superscript"/>
        </w:rPr>
        <w:t>225</w:t>
      </w:r>
      <w:r>
        <w:rPr>
          <w:rFonts w:ascii="Times New Roman" w:hAnsi="Times New Roman" w:eastAsia="仿宋_GB2312" w:cs="Times New Roman"/>
          <w:sz w:val="28"/>
          <w:szCs w:val="28"/>
        </w:rPr>
        <w:t>Ac及</w:t>
      </w:r>
      <w:r>
        <w:rPr>
          <w:rFonts w:ascii="Times New Roman" w:hAnsi="Times New Roman" w:eastAsia="仿宋_GB2312" w:cs="Times New Roman"/>
          <w:sz w:val="28"/>
          <w:szCs w:val="28"/>
          <w:vertAlign w:val="superscript"/>
        </w:rPr>
        <w:t>223</w:t>
      </w:r>
      <w:r>
        <w:rPr>
          <w:rFonts w:ascii="Times New Roman" w:hAnsi="Times New Roman" w:eastAsia="仿宋_GB2312" w:cs="Times New Roman"/>
          <w:sz w:val="28"/>
          <w:szCs w:val="28"/>
        </w:rPr>
        <w:t>Ra的产率评估模型，并开展实验测试，掌握高束流密度条件下靶材的热力学响应机制与极限运行参数，形成具备工程化应用前景的Th靶系统技术方案，为我国医用同位素</w:t>
      </w:r>
      <w:r>
        <w:rPr>
          <w:rFonts w:ascii="Times New Roman" w:hAnsi="Times New Roman" w:eastAsia="仿宋_GB2312" w:cs="Times New Roman"/>
          <w:sz w:val="28"/>
          <w:szCs w:val="28"/>
          <w:vertAlign w:val="superscript"/>
        </w:rPr>
        <w:t>225</w:t>
      </w:r>
      <w:r>
        <w:rPr>
          <w:rFonts w:ascii="Times New Roman" w:hAnsi="Times New Roman" w:eastAsia="仿宋_GB2312" w:cs="Times New Roman"/>
          <w:sz w:val="28"/>
          <w:szCs w:val="28"/>
        </w:rPr>
        <w:t>Ac的自主稳定供应提供技术支撑。</w:t>
      </w:r>
    </w:p>
    <w:p w14:paraId="5D66B8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textAlignment w:val="auto"/>
        <w:rPr>
          <w:rFonts w:ascii="Times New Roman" w:hAnsi="Times New Roman" w:eastAsia="仿宋_GB2312" w:cs="Times New Roman"/>
          <w:b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考核指标：</w:t>
      </w:r>
    </w:p>
    <w:p w14:paraId="5CC013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firstLine="560" w:firstLineChars="200"/>
        <w:textAlignment w:val="auto"/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ascii="Times New Roman" w:hAnsi="Times New Roman" w:eastAsia="仿宋_GB2312" w:cs="Times New Roman"/>
          <w:sz w:val="28"/>
          <w:szCs w:val="28"/>
        </w:rPr>
        <w:t>完成</w:t>
      </w:r>
      <w:r>
        <w:rPr>
          <w:rFonts w:ascii="Times New Roman" w:hAnsi="Times New Roman" w:eastAsia="仿宋_GB2312" w:cs="Times New Roman"/>
          <w:sz w:val="28"/>
          <w:szCs w:val="28"/>
          <w:vertAlign w:val="superscript"/>
        </w:rPr>
        <w:t>225</w:t>
      </w:r>
      <w:r>
        <w:rPr>
          <w:rFonts w:ascii="Times New Roman" w:hAnsi="Times New Roman" w:eastAsia="仿宋_GB2312" w:cs="Times New Roman"/>
          <w:sz w:val="28"/>
          <w:szCs w:val="28"/>
        </w:rPr>
        <w:t>Ac和</w:t>
      </w:r>
      <w:r>
        <w:rPr>
          <w:rFonts w:ascii="Times New Roman" w:hAnsi="Times New Roman" w:eastAsia="仿宋_GB2312" w:cs="Times New Roman"/>
          <w:sz w:val="28"/>
          <w:szCs w:val="28"/>
          <w:vertAlign w:val="superscript"/>
        </w:rPr>
        <w:t>223</w:t>
      </w:r>
      <w:r>
        <w:rPr>
          <w:rFonts w:ascii="Times New Roman" w:hAnsi="Times New Roman" w:eastAsia="仿宋_GB2312" w:cs="Times New Roman"/>
          <w:sz w:val="28"/>
          <w:szCs w:val="28"/>
        </w:rPr>
        <w:t>Ra产率评估计算，评估计算结果相对于现有实验数据的均方差χ</w:t>
      </w:r>
      <w:r>
        <w:rPr>
          <w:rFonts w:ascii="Times New Roman" w:hAnsi="Times New Roman" w:eastAsia="仿宋_GB2312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eastAsia="仿宋_GB2312" w:cs="Times New Roman"/>
          <w:sz w:val="28"/>
          <w:szCs w:val="28"/>
        </w:rPr>
        <w:t>＜70；完成n-Th辐照实验测试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，获得中子诱发钍</w:t>
      </w:r>
      <w:r>
        <w:rPr>
          <w:rFonts w:ascii="Times New Roman" w:hAnsi="Times New Roman" w:eastAsia="仿宋_GB2312" w:cs="Times New Roman"/>
          <w:sz w:val="28"/>
          <w:szCs w:val="28"/>
        </w:rPr>
        <w:t>-232剩余核截面数据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，数据误差小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28"/>
          <w:szCs w:val="28"/>
        </w:rPr>
        <w:t>于</w:t>
      </w:r>
      <w:r>
        <w:rPr>
          <w:rFonts w:ascii="Times New Roman" w:hAnsi="Times New Roman" w:eastAsia="仿宋_GB2312" w:cs="Times New Roman"/>
          <w:sz w:val="28"/>
          <w:szCs w:val="28"/>
        </w:rPr>
        <w:t>15%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。</w:t>
      </w:r>
      <w:r>
        <w:rPr>
          <w:rFonts w:ascii="Times New Roman" w:hAnsi="Times New Roman" w:eastAsia="仿宋_GB2312" w:cs="Times New Roman"/>
          <w:sz w:val="28"/>
          <w:szCs w:val="28"/>
        </w:rPr>
        <w:t>研制1台靶组件模拟样机，完成水流-压力关系的冷试验测试；完成辐射安全分析与防护设计优化工作，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完成复合靶物理设计校核报告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。</w:t>
      </w:r>
    </w:p>
    <w:p w14:paraId="4FC8F2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jc w:val="both"/>
        <w:textAlignment w:val="auto"/>
        <w:rPr>
          <w:rFonts w:ascii="Times New Roman" w:hAnsi="Times New Roman" w:eastAsia="仿宋_GB2312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仿宋_GB2312" w:cs="Times New Roman"/>
          <w:b/>
          <w:bCs/>
          <w:sz w:val="28"/>
          <w:szCs w:val="28"/>
        </w:rPr>
        <w:t>交付内容：</w:t>
      </w:r>
    </w:p>
    <w:p w14:paraId="6AFB4BE4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jc w:val="both"/>
        <w:textAlignment w:val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  <w:vertAlign w:val="superscript"/>
        </w:rPr>
        <w:t>225</w:t>
      </w:r>
      <w:r>
        <w:rPr>
          <w:rFonts w:ascii="Times New Roman" w:hAnsi="Times New Roman" w:eastAsia="仿宋_GB2312" w:cs="Times New Roman"/>
          <w:sz w:val="28"/>
          <w:szCs w:val="28"/>
        </w:rPr>
        <w:t>Ac和</w:t>
      </w:r>
      <w:r>
        <w:rPr>
          <w:rFonts w:ascii="Times New Roman" w:hAnsi="Times New Roman" w:eastAsia="仿宋_GB2312" w:cs="Times New Roman"/>
          <w:sz w:val="28"/>
          <w:szCs w:val="28"/>
          <w:vertAlign w:val="superscript"/>
        </w:rPr>
        <w:t>223</w:t>
      </w:r>
      <w:r>
        <w:rPr>
          <w:rFonts w:ascii="Times New Roman" w:hAnsi="Times New Roman" w:eastAsia="仿宋_GB2312" w:cs="Times New Roman"/>
          <w:sz w:val="28"/>
          <w:szCs w:val="28"/>
        </w:rPr>
        <w:t>Ra产率评估计算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以及与现有实验数据的对比分析报告；</w:t>
      </w:r>
    </w:p>
    <w:p w14:paraId="459B623D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jc w:val="both"/>
        <w:textAlignment w:val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两个能点中子诱发钍</w:t>
      </w:r>
      <w:r>
        <w:rPr>
          <w:rFonts w:ascii="Times New Roman" w:hAnsi="Times New Roman" w:eastAsia="仿宋_GB2312" w:cs="Times New Roman"/>
          <w:sz w:val="28"/>
          <w:szCs w:val="28"/>
        </w:rPr>
        <w:t>-232剩余核截面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实验</w:t>
      </w:r>
      <w:r>
        <w:rPr>
          <w:rFonts w:ascii="Times New Roman" w:hAnsi="Times New Roman" w:eastAsia="仿宋_GB2312" w:cs="Times New Roman"/>
          <w:sz w:val="28"/>
          <w:szCs w:val="28"/>
        </w:rPr>
        <w:t>数据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及分析报告；</w:t>
      </w:r>
    </w:p>
    <w:p w14:paraId="7514941A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jc w:val="both"/>
        <w:textAlignment w:val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钍靶组件样机及其水流</w:t>
      </w:r>
      <w:r>
        <w:rPr>
          <w:rFonts w:ascii="Times New Roman" w:hAnsi="Times New Roman" w:eastAsia="仿宋_GB2312" w:cs="Times New Roman"/>
          <w:sz w:val="28"/>
          <w:szCs w:val="28"/>
        </w:rPr>
        <w:t>-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压力冷实验测试报告；</w:t>
      </w:r>
    </w:p>
    <w:p w14:paraId="31829066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jc w:val="both"/>
        <w:textAlignment w:val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复合靶物理设计校核报告。</w:t>
      </w:r>
    </w:p>
    <w:p w14:paraId="52D9A8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textAlignment w:val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执行期限：</w:t>
      </w:r>
      <w:r>
        <w:rPr>
          <w:rFonts w:ascii="Times New Roman" w:hAnsi="Times New Roman" w:eastAsia="仿宋_GB2312" w:cs="Times New Roman"/>
          <w:sz w:val="28"/>
          <w:szCs w:val="28"/>
        </w:rPr>
        <w:t>2025年-2029年</w:t>
      </w:r>
    </w:p>
    <w:p w14:paraId="032D7B7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b/>
          <w:bCs/>
          <w:sz w:val="28"/>
          <w:szCs w:val="28"/>
        </w:rPr>
        <w:t>遴选方式：</w:t>
      </w:r>
      <w:r>
        <w:rPr>
          <w:rFonts w:ascii="Times New Roman" w:hAnsi="Times New Roman" w:eastAsia="仿宋_GB2312"/>
          <w:sz w:val="28"/>
          <w:szCs w:val="28"/>
        </w:rPr>
        <w:t>公开征集</w:t>
      </w:r>
    </w:p>
    <w:p w14:paraId="02E5760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b/>
          <w:bCs/>
          <w:sz w:val="28"/>
          <w:szCs w:val="28"/>
        </w:rPr>
        <w:t>研究经费：</w:t>
      </w:r>
      <w:r>
        <w:rPr>
          <w:rFonts w:ascii="Times New Roman" w:hAnsi="Times New Roman" w:eastAsia="仿宋_GB2312"/>
          <w:sz w:val="28"/>
          <w:szCs w:val="28"/>
        </w:rPr>
        <w:t>150万元</w:t>
      </w:r>
    </w:p>
    <w:p w14:paraId="37ED5AB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textAlignment w:val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28"/>
          <w:szCs w:val="28"/>
          <w:lang w:val="en-US" w:eastAsia="zh-CN" w:bidi="ar-SA"/>
          <w14:ligatures w14:val="none"/>
        </w:rPr>
        <w:t>课题联系人：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高育翠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gaoyucui@impcas.ac.cn</w:t>
      </w:r>
    </w:p>
    <w:p w14:paraId="27BEC29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</w:pPr>
    </w:p>
    <w:p w14:paraId="429E72F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847765"/>
    <w:multiLevelType w:val="multilevel"/>
    <w:tmpl w:val="00847765"/>
    <w:lvl w:ilvl="0" w:tentative="0">
      <w:start w:val="1"/>
      <w:numFmt w:val="decimal"/>
      <w:suff w:val="nothing"/>
      <w:lvlText w:val="%1）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FC5A75"/>
    <w:rsid w:val="21FC5A75"/>
    <w:rsid w:val="242A28CA"/>
    <w:rsid w:val="3518676F"/>
    <w:rsid w:val="4BDA4326"/>
    <w:rsid w:val="4D981DA3"/>
    <w:rsid w:val="5B8875FE"/>
    <w:rsid w:val="60536011"/>
    <w:rsid w:val="64FD4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spacing w:before="100" w:beforeAutospacing="1" w:after="100" w:afterAutospacing="1" w:line="240" w:lineRule="auto"/>
    </w:pPr>
    <w:rPr>
      <w:rFonts w:ascii="Calibri" w:hAnsi="Calibri" w:eastAsia="宋体" w:cs="Times New Roman"/>
      <w:kern w:val="0"/>
      <w:sz w:val="24"/>
      <w14:ligatures w14:val="none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2052-12.1.0.23539</vt:lpwstr>
  </property>
  <property fmtid="{D5CDD505-2E9C-101B-9397-08002B2CF9AE}" pid="3" name="ICV">
    <vt:lpwstr>CD86E0B9DD634370BEF26DCC94A8AC68_11</vt:lpwstr>
  </property>
  <property fmtid="{D5CDD505-2E9C-101B-9397-08002B2CF9AE}" pid="4" name="KSOTemplateDocerSaveRecord">
    <vt:lpwstr>eyJoZGlkIjoiYjU2ZmRlYjM0NWRlMDYyZDg2NTFiZDQ2OWQxNDE0YzciLCJ1c2VySWQiOiIzOTkzMDgzNTEifQ==</vt:lpwstr>
  </property>
</Properties>
</file>